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B4ED95" w14:textId="77777777" w:rsidR="00280D6A" w:rsidRDefault="00280D6A" w:rsidP="00280D6A">
      <w:pPr>
        <w:jc w:val="center"/>
        <w:rPr>
          <w:b/>
          <w:bCs/>
        </w:rPr>
      </w:pPr>
      <w:r w:rsidRPr="00280D6A">
        <w:drawing>
          <wp:inline distT="0" distB="0" distL="0" distR="0" wp14:anchorId="3797EB64" wp14:editId="5A2E237C">
            <wp:extent cx="1809750" cy="438150"/>
            <wp:effectExtent l="0" t="0" r="0" b="0"/>
            <wp:docPr id="1" name="Afbeelding 1" descr="signature_6122057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signature_612205739"/>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809750" cy="438150"/>
                    </a:xfrm>
                    <a:prstGeom prst="rect">
                      <a:avLst/>
                    </a:prstGeom>
                    <a:noFill/>
                    <a:ln>
                      <a:noFill/>
                    </a:ln>
                  </pic:spPr>
                </pic:pic>
              </a:graphicData>
            </a:graphic>
          </wp:inline>
        </w:drawing>
      </w:r>
    </w:p>
    <w:p w14:paraId="3ECABE56" w14:textId="77777777" w:rsidR="00280D6A" w:rsidRDefault="00280D6A" w:rsidP="00280D6A"/>
    <w:p w14:paraId="27295ADB" w14:textId="3A0722B1" w:rsidR="00280D6A" w:rsidRPr="00280D6A" w:rsidRDefault="00280D6A" w:rsidP="00280D6A">
      <w:r w:rsidRPr="00280D6A">
        <w:t>Medifarmcursus ‘COVID-19-geassocieerde complicaties’ januari - maart 2021</w:t>
      </w:r>
    </w:p>
    <w:p w14:paraId="788F4B43" w14:textId="77777777" w:rsidR="00280D6A" w:rsidRPr="00280D6A" w:rsidRDefault="00280D6A" w:rsidP="00280D6A">
      <w:r w:rsidRPr="00280D6A">
        <w:t> </w:t>
      </w:r>
    </w:p>
    <w:p w14:paraId="2C474306" w14:textId="77777777" w:rsidR="00280D6A" w:rsidRPr="00280D6A" w:rsidRDefault="00280D6A" w:rsidP="00280D6A">
      <w:r w:rsidRPr="00280D6A">
        <w:t xml:space="preserve">Geachte apotheker, </w:t>
      </w:r>
    </w:p>
    <w:p w14:paraId="44E3166B" w14:textId="77777777" w:rsidR="00280D6A" w:rsidRPr="00280D6A" w:rsidRDefault="00280D6A" w:rsidP="00280D6A">
      <w:r w:rsidRPr="00280D6A">
        <w:rPr>
          <w:i/>
          <w:iCs/>
        </w:rPr>
        <w:t> </w:t>
      </w:r>
    </w:p>
    <w:p w14:paraId="56DFED86" w14:textId="77777777" w:rsidR="00280D6A" w:rsidRPr="00280D6A" w:rsidRDefault="00280D6A" w:rsidP="00280D6A">
      <w:r w:rsidRPr="00280D6A">
        <w:t xml:space="preserve">Het begon allemaal als een lokale epidemie in China en groeide uit tot een wereldwijde pandemie waarbij geen enkel land gespaard bleef. Dagelijks publiceren medische tijdschriften tientallen artikelen over het coronavirus en de ziekte COVID-19. Er is sprake van een continu proces van voortschrijdend inzicht en daar komt voorlopig nog geen einde aan. </w:t>
      </w:r>
    </w:p>
    <w:p w14:paraId="67A801AC" w14:textId="77777777" w:rsidR="00280D6A" w:rsidRPr="00280D6A" w:rsidRDefault="00280D6A" w:rsidP="00280D6A">
      <w:r w:rsidRPr="00280D6A">
        <w:t xml:space="preserve">De meeste patiënten presenteren zich met respiratoire klachten omdat het virus primair via de luchtwegen het lichaam binnenkomt, maar vervolgens zien we een breed spectrum van andere presentaties met cardiovasculaire, trombogene, neurologische en dermatologische consequenties. Ook bespreken we de relatie van de infectie met hypertensie, diabetes, obesitas en reuma. </w:t>
      </w:r>
    </w:p>
    <w:p w14:paraId="33551514" w14:textId="77777777" w:rsidR="00280D6A" w:rsidRPr="00280D6A" w:rsidRDefault="00280D6A" w:rsidP="00280D6A">
      <w:r w:rsidRPr="00280D6A">
        <w:t xml:space="preserve">Vanuit verschillende invalshoeken zijn behandelingen naar voren gebracht zoals antivirale therapie, anti-inflammatoire middelen, antistolling en immunoglobulines. </w:t>
      </w:r>
    </w:p>
    <w:p w14:paraId="621661D3" w14:textId="77777777" w:rsidR="00280D6A" w:rsidRPr="00280D6A" w:rsidRDefault="00280D6A" w:rsidP="00280D6A">
      <w:r w:rsidRPr="00280D6A">
        <w:t xml:space="preserve">We zullen in het kort de zin en onzin van deze geneesmiddelen onder de loep nemen. </w:t>
      </w:r>
    </w:p>
    <w:p w14:paraId="0FB3D963" w14:textId="77777777" w:rsidR="00280D6A" w:rsidRPr="00280D6A" w:rsidRDefault="00280D6A" w:rsidP="00280D6A">
      <w:r w:rsidRPr="00280D6A">
        <w:t xml:space="preserve">Vaccins zijn in aantocht of zullen er al zijn tegen de tijd dat we dit onderwerp met elkaar bespreken. </w:t>
      </w:r>
    </w:p>
    <w:p w14:paraId="01A75681" w14:textId="77777777" w:rsidR="00280D6A" w:rsidRPr="00280D6A" w:rsidRDefault="00280D6A" w:rsidP="00280D6A">
      <w:r w:rsidRPr="00280D6A">
        <w:t> </w:t>
      </w:r>
    </w:p>
    <w:p w14:paraId="0BAE346F" w14:textId="77777777" w:rsidR="00280D6A" w:rsidRPr="00280D6A" w:rsidRDefault="00280D6A" w:rsidP="00280D6A">
      <w:r w:rsidRPr="00280D6A">
        <w:rPr>
          <w:b/>
          <w:bCs/>
        </w:rPr>
        <w:t>UITVOER</w:t>
      </w:r>
      <w:r w:rsidRPr="00280D6A">
        <w:br/>
        <w:t>De cursus is samengesteld door Serdar Araz, openbaar apotheker. Gert van Lieshout heeft de zo gewenste medische en huisartsgeneeskundige aanvullingen gedaan. Serdar geeft de cursus op de locaties.</w:t>
      </w:r>
    </w:p>
    <w:p w14:paraId="351E4830" w14:textId="77777777" w:rsidR="00280D6A" w:rsidRPr="00280D6A" w:rsidRDefault="00280D6A" w:rsidP="00280D6A">
      <w:r w:rsidRPr="00280D6A">
        <w:t>In (corona)nood zal de cursus digitaal gegeven worden, met behoud van 3 accreditatiepunten.</w:t>
      </w:r>
    </w:p>
    <w:p w14:paraId="65C431D0" w14:textId="77777777" w:rsidR="00280D6A" w:rsidRPr="00280D6A" w:rsidRDefault="00280D6A" w:rsidP="00280D6A">
      <w:r w:rsidRPr="00280D6A">
        <w:t> </w:t>
      </w:r>
    </w:p>
    <w:p w14:paraId="32B7EEFD" w14:textId="77777777" w:rsidR="00280D6A" w:rsidRPr="00280D6A" w:rsidRDefault="00280D6A" w:rsidP="00280D6A">
      <w:r w:rsidRPr="00280D6A">
        <w:rPr>
          <w:b/>
          <w:bCs/>
        </w:rPr>
        <w:t>OPZET</w:t>
      </w:r>
      <w:r w:rsidRPr="00280D6A">
        <w:br/>
        <w:t>Door de blijvende nauwe samenwerking met Gert van Lieshout verandert er niets in de opzet en uitwerking van de casuïstiek en de diapresentatie. Het vertrouwde patroon blijft onveranderd: praktijkgericht, interactieve casuïstiek met de bekende vele medische en huisartsgeneeskundige aspecten, gevolgd door de interactieve plenaire bespreking van de casuïstiek. Zoals altijd afgesloten met de samenvattende diapresentatie, waar u een papieren kopie van kunt krijgen bij de bespreking. Velen hebben immers de presentatie al gedownload.</w:t>
      </w:r>
      <w:r w:rsidRPr="00280D6A">
        <w:rPr>
          <w:b/>
          <w:bCs/>
        </w:rPr>
        <w:t xml:space="preserve"> </w:t>
      </w:r>
    </w:p>
    <w:p w14:paraId="555829CA" w14:textId="77777777" w:rsidR="00280D6A" w:rsidRPr="00280D6A" w:rsidRDefault="00280D6A" w:rsidP="00280D6A">
      <w:pPr>
        <w:rPr>
          <w:b/>
          <w:bCs/>
        </w:rPr>
      </w:pPr>
      <w:r w:rsidRPr="00280D6A">
        <w:rPr>
          <w:b/>
          <w:bCs/>
        </w:rPr>
        <w:t>Inhoud</w:t>
      </w:r>
    </w:p>
    <w:p w14:paraId="324807F8" w14:textId="77777777" w:rsidR="00280D6A" w:rsidRPr="00280D6A" w:rsidRDefault="00280D6A" w:rsidP="00280D6A">
      <w:r w:rsidRPr="00280D6A">
        <w:t xml:space="preserve">Afgestemd op het aanwezige en te wensen kennisniveau van de apotheker komen aan bod:  </w:t>
      </w:r>
    </w:p>
    <w:tbl>
      <w:tblPr>
        <w:tblW w:w="0" w:type="auto"/>
        <w:tblCellMar>
          <w:left w:w="0" w:type="dxa"/>
          <w:right w:w="0" w:type="dxa"/>
        </w:tblCellMar>
        <w:tblLook w:val="04A0" w:firstRow="1" w:lastRow="0" w:firstColumn="1" w:lastColumn="0" w:noHBand="0" w:noVBand="1"/>
      </w:tblPr>
      <w:tblGrid>
        <w:gridCol w:w="426"/>
        <w:gridCol w:w="8646"/>
      </w:tblGrid>
      <w:tr w:rsidR="00280D6A" w:rsidRPr="00280D6A" w14:paraId="60C482DA" w14:textId="77777777" w:rsidTr="00280D6A">
        <w:tc>
          <w:tcPr>
            <w:tcW w:w="426" w:type="dxa"/>
            <w:tcMar>
              <w:top w:w="0" w:type="dxa"/>
              <w:left w:w="108" w:type="dxa"/>
              <w:bottom w:w="0" w:type="dxa"/>
              <w:right w:w="108" w:type="dxa"/>
            </w:tcMar>
            <w:hideMark/>
          </w:tcPr>
          <w:p w14:paraId="106689EA" w14:textId="77777777" w:rsidR="00280D6A" w:rsidRPr="00280D6A" w:rsidRDefault="00280D6A" w:rsidP="00280D6A">
            <w:r w:rsidRPr="00280D6A">
              <w:t>-</w:t>
            </w:r>
          </w:p>
        </w:tc>
        <w:tc>
          <w:tcPr>
            <w:tcW w:w="8651" w:type="dxa"/>
            <w:tcMar>
              <w:top w:w="0" w:type="dxa"/>
              <w:left w:w="108" w:type="dxa"/>
              <w:bottom w:w="0" w:type="dxa"/>
              <w:right w:w="108" w:type="dxa"/>
            </w:tcMar>
            <w:hideMark/>
          </w:tcPr>
          <w:p w14:paraId="48C5A129" w14:textId="77777777" w:rsidR="00280D6A" w:rsidRPr="00280D6A" w:rsidRDefault="00280D6A" w:rsidP="00280D6A">
            <w:r w:rsidRPr="00280D6A">
              <w:t>Het ziektebeeld met zijn pathofysiologie en etiologie.</w:t>
            </w:r>
          </w:p>
        </w:tc>
      </w:tr>
      <w:tr w:rsidR="00280D6A" w:rsidRPr="00280D6A" w14:paraId="3FF44989" w14:textId="77777777" w:rsidTr="00280D6A">
        <w:tc>
          <w:tcPr>
            <w:tcW w:w="426" w:type="dxa"/>
            <w:tcMar>
              <w:top w:w="0" w:type="dxa"/>
              <w:left w:w="108" w:type="dxa"/>
              <w:bottom w:w="0" w:type="dxa"/>
              <w:right w:w="108" w:type="dxa"/>
            </w:tcMar>
            <w:hideMark/>
          </w:tcPr>
          <w:p w14:paraId="6DDCC0AE" w14:textId="77777777" w:rsidR="00280D6A" w:rsidRPr="00280D6A" w:rsidRDefault="00280D6A" w:rsidP="00280D6A">
            <w:r w:rsidRPr="00280D6A">
              <w:t>-</w:t>
            </w:r>
          </w:p>
        </w:tc>
        <w:tc>
          <w:tcPr>
            <w:tcW w:w="8651" w:type="dxa"/>
            <w:tcMar>
              <w:top w:w="0" w:type="dxa"/>
              <w:left w:w="108" w:type="dxa"/>
              <w:bottom w:w="0" w:type="dxa"/>
              <w:right w:w="108" w:type="dxa"/>
            </w:tcMar>
            <w:hideMark/>
          </w:tcPr>
          <w:p w14:paraId="48D8CB19" w14:textId="77777777" w:rsidR="00280D6A" w:rsidRPr="00280D6A" w:rsidRDefault="00280D6A" w:rsidP="00280D6A">
            <w:r w:rsidRPr="00280D6A">
              <w:t>Het beloop van de infectie met de verschillende ziektestadia.</w:t>
            </w:r>
          </w:p>
        </w:tc>
      </w:tr>
      <w:tr w:rsidR="00280D6A" w:rsidRPr="00280D6A" w14:paraId="08EB2C48" w14:textId="77777777" w:rsidTr="00280D6A">
        <w:tc>
          <w:tcPr>
            <w:tcW w:w="426" w:type="dxa"/>
            <w:tcMar>
              <w:top w:w="0" w:type="dxa"/>
              <w:left w:w="108" w:type="dxa"/>
              <w:bottom w:w="0" w:type="dxa"/>
              <w:right w:w="108" w:type="dxa"/>
            </w:tcMar>
            <w:hideMark/>
          </w:tcPr>
          <w:p w14:paraId="19B5E33D" w14:textId="77777777" w:rsidR="00280D6A" w:rsidRPr="00280D6A" w:rsidRDefault="00280D6A" w:rsidP="00280D6A">
            <w:r w:rsidRPr="00280D6A">
              <w:t>-</w:t>
            </w:r>
          </w:p>
        </w:tc>
        <w:tc>
          <w:tcPr>
            <w:tcW w:w="8651" w:type="dxa"/>
            <w:tcMar>
              <w:top w:w="0" w:type="dxa"/>
              <w:left w:w="108" w:type="dxa"/>
              <w:bottom w:w="0" w:type="dxa"/>
              <w:right w:w="108" w:type="dxa"/>
            </w:tcMar>
            <w:hideMark/>
          </w:tcPr>
          <w:p w14:paraId="71DB6629" w14:textId="77777777" w:rsidR="00280D6A" w:rsidRPr="00280D6A" w:rsidRDefault="00280D6A" w:rsidP="00280D6A">
            <w:r w:rsidRPr="00280D6A">
              <w:t>Tot nu toe geconstateerde complicaties.</w:t>
            </w:r>
          </w:p>
        </w:tc>
      </w:tr>
      <w:tr w:rsidR="00280D6A" w:rsidRPr="00280D6A" w14:paraId="602B40A3" w14:textId="77777777" w:rsidTr="00280D6A">
        <w:tc>
          <w:tcPr>
            <w:tcW w:w="426" w:type="dxa"/>
            <w:tcMar>
              <w:top w:w="0" w:type="dxa"/>
              <w:left w:w="108" w:type="dxa"/>
              <w:bottom w:w="0" w:type="dxa"/>
              <w:right w:w="108" w:type="dxa"/>
            </w:tcMar>
            <w:hideMark/>
          </w:tcPr>
          <w:p w14:paraId="410E8386" w14:textId="77777777" w:rsidR="00280D6A" w:rsidRPr="00280D6A" w:rsidRDefault="00280D6A" w:rsidP="00280D6A">
            <w:r w:rsidRPr="00280D6A">
              <w:t>-</w:t>
            </w:r>
          </w:p>
        </w:tc>
        <w:tc>
          <w:tcPr>
            <w:tcW w:w="8651" w:type="dxa"/>
            <w:tcMar>
              <w:top w:w="0" w:type="dxa"/>
              <w:left w:w="108" w:type="dxa"/>
              <w:bottom w:w="0" w:type="dxa"/>
              <w:right w:w="108" w:type="dxa"/>
            </w:tcMar>
            <w:hideMark/>
          </w:tcPr>
          <w:p w14:paraId="64D87C73" w14:textId="77777777" w:rsidR="00280D6A" w:rsidRPr="00280D6A" w:rsidRDefault="00280D6A" w:rsidP="00280D6A">
            <w:r w:rsidRPr="00280D6A">
              <w:t>De relatie van de infectie met het cardiovasculaire systeem, hypertensie, diabetes, obesitas en reuma.</w:t>
            </w:r>
          </w:p>
        </w:tc>
      </w:tr>
      <w:tr w:rsidR="00280D6A" w:rsidRPr="00280D6A" w14:paraId="5BEC07B4" w14:textId="77777777" w:rsidTr="00280D6A">
        <w:trPr>
          <w:trHeight w:val="339"/>
        </w:trPr>
        <w:tc>
          <w:tcPr>
            <w:tcW w:w="426" w:type="dxa"/>
            <w:tcMar>
              <w:top w:w="0" w:type="dxa"/>
              <w:left w:w="108" w:type="dxa"/>
              <w:bottom w:w="0" w:type="dxa"/>
              <w:right w:w="108" w:type="dxa"/>
            </w:tcMar>
            <w:hideMark/>
          </w:tcPr>
          <w:p w14:paraId="765B8687" w14:textId="77777777" w:rsidR="00280D6A" w:rsidRPr="00280D6A" w:rsidRDefault="00280D6A" w:rsidP="00280D6A">
            <w:r w:rsidRPr="00280D6A">
              <w:t>-</w:t>
            </w:r>
          </w:p>
        </w:tc>
        <w:tc>
          <w:tcPr>
            <w:tcW w:w="8651" w:type="dxa"/>
            <w:tcMar>
              <w:top w:w="0" w:type="dxa"/>
              <w:left w:w="108" w:type="dxa"/>
              <w:bottom w:w="0" w:type="dxa"/>
              <w:right w:w="108" w:type="dxa"/>
            </w:tcMar>
            <w:hideMark/>
          </w:tcPr>
          <w:p w14:paraId="3044D6AA" w14:textId="77777777" w:rsidR="00280D6A" w:rsidRPr="00280D6A" w:rsidRDefault="00280D6A" w:rsidP="00280D6A">
            <w:r w:rsidRPr="00280D6A">
              <w:t>Plaatsbepaling antivirale en antibacteriële therapie, anti-inflammatoire middelen, antistolling en immunoglobulines.</w:t>
            </w:r>
          </w:p>
        </w:tc>
      </w:tr>
      <w:tr w:rsidR="00280D6A" w:rsidRPr="00280D6A" w14:paraId="094AC0D4" w14:textId="77777777" w:rsidTr="00280D6A">
        <w:tc>
          <w:tcPr>
            <w:tcW w:w="426" w:type="dxa"/>
            <w:tcMar>
              <w:top w:w="0" w:type="dxa"/>
              <w:left w:w="108" w:type="dxa"/>
              <w:bottom w:w="0" w:type="dxa"/>
              <w:right w:w="108" w:type="dxa"/>
            </w:tcMar>
            <w:hideMark/>
          </w:tcPr>
          <w:p w14:paraId="08F07D54" w14:textId="77777777" w:rsidR="00280D6A" w:rsidRPr="00280D6A" w:rsidRDefault="00280D6A" w:rsidP="00280D6A">
            <w:r w:rsidRPr="00280D6A">
              <w:t>-</w:t>
            </w:r>
          </w:p>
        </w:tc>
        <w:tc>
          <w:tcPr>
            <w:tcW w:w="8651" w:type="dxa"/>
            <w:tcMar>
              <w:top w:w="0" w:type="dxa"/>
              <w:left w:w="108" w:type="dxa"/>
              <w:bottom w:w="0" w:type="dxa"/>
              <w:right w:w="108" w:type="dxa"/>
            </w:tcMar>
            <w:hideMark/>
          </w:tcPr>
          <w:p w14:paraId="0D04B970" w14:textId="77777777" w:rsidR="00280D6A" w:rsidRPr="00280D6A" w:rsidRDefault="00280D6A" w:rsidP="00280D6A">
            <w:r w:rsidRPr="00280D6A">
              <w:t>COVID-19-geassocieerde complicaties en de huisarts.</w:t>
            </w:r>
          </w:p>
        </w:tc>
      </w:tr>
      <w:tr w:rsidR="00280D6A" w:rsidRPr="00280D6A" w14:paraId="0DF6FBCD" w14:textId="77777777" w:rsidTr="00280D6A">
        <w:tc>
          <w:tcPr>
            <w:tcW w:w="426" w:type="dxa"/>
            <w:tcMar>
              <w:top w:w="0" w:type="dxa"/>
              <w:left w:w="108" w:type="dxa"/>
              <w:bottom w:w="0" w:type="dxa"/>
              <w:right w:w="108" w:type="dxa"/>
            </w:tcMar>
            <w:hideMark/>
          </w:tcPr>
          <w:p w14:paraId="13D42EE7" w14:textId="77777777" w:rsidR="00280D6A" w:rsidRPr="00280D6A" w:rsidRDefault="00280D6A" w:rsidP="00280D6A">
            <w:r w:rsidRPr="00280D6A">
              <w:t>-</w:t>
            </w:r>
          </w:p>
        </w:tc>
        <w:tc>
          <w:tcPr>
            <w:tcW w:w="8651" w:type="dxa"/>
            <w:tcMar>
              <w:top w:w="0" w:type="dxa"/>
              <w:left w:w="108" w:type="dxa"/>
              <w:bottom w:w="0" w:type="dxa"/>
              <w:right w:w="108" w:type="dxa"/>
            </w:tcMar>
            <w:hideMark/>
          </w:tcPr>
          <w:p w14:paraId="4E181C00" w14:textId="77777777" w:rsidR="00280D6A" w:rsidRPr="00280D6A" w:rsidRDefault="00280D6A" w:rsidP="00280D6A">
            <w:r w:rsidRPr="00280D6A">
              <w:t>(Toekomstige) vaccins en andere nieuwe ontwikkelingen.</w:t>
            </w:r>
          </w:p>
        </w:tc>
      </w:tr>
    </w:tbl>
    <w:p w14:paraId="5726AC1B" w14:textId="77777777" w:rsidR="00280D6A" w:rsidRPr="00280D6A" w:rsidRDefault="00280D6A" w:rsidP="00280D6A">
      <w:pPr>
        <w:rPr>
          <w:b/>
          <w:bCs/>
        </w:rPr>
      </w:pPr>
      <w:r w:rsidRPr="00280D6A">
        <w:rPr>
          <w:b/>
          <w:bCs/>
        </w:rPr>
        <w:t xml:space="preserve">Programma </w:t>
      </w:r>
    </w:p>
    <w:p w14:paraId="01A57056" w14:textId="77777777" w:rsidR="00280D6A" w:rsidRPr="00280D6A" w:rsidRDefault="00280D6A" w:rsidP="00280D6A">
      <w:r w:rsidRPr="00280D6A">
        <w:t xml:space="preserve">Het programma van deze met </w:t>
      </w:r>
      <w:r w:rsidRPr="00280D6A">
        <w:rPr>
          <w:b/>
          <w:bCs/>
        </w:rPr>
        <w:t>drie punten</w:t>
      </w:r>
      <w:r w:rsidRPr="00280D6A">
        <w:t xml:space="preserve"> geaccrediteerde cursus ziet er als volgt uit: </w:t>
      </w:r>
    </w:p>
    <w:p w14:paraId="42D355A1" w14:textId="77777777" w:rsidR="00280D6A" w:rsidRPr="00280D6A" w:rsidRDefault="00280D6A" w:rsidP="00280D6A">
      <w:r w:rsidRPr="00280D6A">
        <w:t>Vanaf     09.10 uur: registratie, koffie en thee</w:t>
      </w:r>
    </w:p>
    <w:p w14:paraId="4088D8C8" w14:textId="77777777" w:rsidR="00280D6A" w:rsidRPr="00280D6A" w:rsidRDefault="00280D6A" w:rsidP="00280D6A">
      <w:r w:rsidRPr="00280D6A">
        <w:t xml:space="preserve">               09.30 uur: aanvang van de Medifarmcursus </w:t>
      </w:r>
    </w:p>
    <w:p w14:paraId="5CF1470C" w14:textId="77777777" w:rsidR="00280D6A" w:rsidRPr="00280D6A" w:rsidRDefault="00280D6A" w:rsidP="00280D6A">
      <w:r w:rsidRPr="00280D6A">
        <w:t>               12.30 uur: evaluatie, sluiting en lunch</w:t>
      </w:r>
    </w:p>
    <w:p w14:paraId="2F3F81C2" w14:textId="77777777" w:rsidR="00280D6A" w:rsidRPr="00280D6A" w:rsidRDefault="00280D6A" w:rsidP="00280D6A">
      <w:pPr>
        <w:rPr>
          <w:b/>
          <w:bCs/>
        </w:rPr>
      </w:pPr>
      <w:r w:rsidRPr="00280D6A">
        <w:rPr>
          <w:b/>
          <w:bCs/>
        </w:rPr>
        <w:t>Kosten en aanmelding</w:t>
      </w:r>
    </w:p>
    <w:p w14:paraId="3261C69F" w14:textId="77777777" w:rsidR="00280D6A" w:rsidRPr="00280D6A" w:rsidRDefault="00280D6A" w:rsidP="00280D6A">
      <w:r w:rsidRPr="00280D6A">
        <w:t xml:space="preserve">De kosten voor de Medifarmcursus zijn € 175,00 plus 21% btw (€ 36,75), totaal € 211,75. </w:t>
      </w:r>
    </w:p>
    <w:p w14:paraId="6C0D7EC0" w14:textId="77777777" w:rsidR="00280D6A" w:rsidRPr="00280D6A" w:rsidRDefault="00280D6A" w:rsidP="00280D6A">
      <w:r w:rsidRPr="00280D6A">
        <w:lastRenderedPageBreak/>
        <w:t> </w:t>
      </w:r>
    </w:p>
    <w:p w14:paraId="5CC48668" w14:textId="77777777" w:rsidR="00280D6A" w:rsidRPr="00280D6A" w:rsidRDefault="00280D6A" w:rsidP="00280D6A">
      <w:r w:rsidRPr="00280D6A">
        <w:t>Met bijgaand aanmeldformulier kun je je opgeven. Je kunt je ook aanmelden voor de cursus via de website:  </w:t>
      </w:r>
      <w:hyperlink r:id="rId6" w:history="1">
        <w:r w:rsidRPr="00280D6A">
          <w:rPr>
            <w:rStyle w:val="Hyperlink"/>
          </w:rPr>
          <w:t>https://www.medifarm.nl/cursus-covid-19-geassocieerde-complicaties/</w:t>
        </w:r>
      </w:hyperlink>
      <w:r w:rsidRPr="00280D6A">
        <w:t xml:space="preserve"> </w:t>
      </w:r>
    </w:p>
    <w:p w14:paraId="7A652AF4" w14:textId="77777777" w:rsidR="00280D6A" w:rsidRPr="00280D6A" w:rsidRDefault="00280D6A" w:rsidP="00280D6A">
      <w:r w:rsidRPr="00280D6A">
        <w:t xml:space="preserve">Ruim voor de cursusdatum krijg je digitaal een bevestiging met een routebeschrijving en de deelnemerslijst (om samen te rijden). Separaat krijg je een rekening. De vraag is deze voor de cursusdatum te betalen. Desgewenst sturen wij de rekening naar je organisatie of werkgever.  </w:t>
      </w:r>
    </w:p>
    <w:p w14:paraId="162DD76B" w14:textId="77777777" w:rsidR="00280D6A" w:rsidRPr="00280D6A" w:rsidRDefault="00280D6A" w:rsidP="00280D6A">
      <w:r w:rsidRPr="00280D6A">
        <w:t> </w:t>
      </w:r>
    </w:p>
    <w:p w14:paraId="77ADD240" w14:textId="77777777" w:rsidR="00280D6A" w:rsidRPr="00280D6A" w:rsidRDefault="00280D6A" w:rsidP="00280D6A">
      <w:r w:rsidRPr="00280D6A">
        <w:t xml:space="preserve">Voor vragen/wijziging van cursusdatum/afzegging etc. kun je rechtstreeks contact opnemen met Jeanet van het secretariaatsbureau Prins &amp; Partners: tel. 06-55868494; e-mail: </w:t>
      </w:r>
      <w:hyperlink r:id="rId7" w:history="1">
        <w:r w:rsidRPr="00280D6A">
          <w:rPr>
            <w:rStyle w:val="Hyperlink"/>
          </w:rPr>
          <w:t>info@medifarm.nl</w:t>
        </w:r>
      </w:hyperlink>
      <w:r w:rsidRPr="00280D6A">
        <w:t xml:space="preserve">; fax: 084-7185554. </w:t>
      </w:r>
    </w:p>
    <w:p w14:paraId="6267CBCC" w14:textId="77777777" w:rsidR="00280D6A" w:rsidRPr="00280D6A" w:rsidRDefault="00280D6A" w:rsidP="00280D6A">
      <w:r w:rsidRPr="00280D6A">
        <w:t> </w:t>
      </w:r>
    </w:p>
    <w:p w14:paraId="43023656" w14:textId="77777777" w:rsidR="00280D6A" w:rsidRPr="00280D6A" w:rsidRDefault="00280D6A" w:rsidP="00280D6A">
      <w:r w:rsidRPr="00280D6A">
        <w:t xml:space="preserve">Graag begroet ik je weer op deze zeer praktijkgerichte, informatieve en interactieve nascholing.  </w:t>
      </w:r>
    </w:p>
    <w:p w14:paraId="46EB6A4B" w14:textId="77777777" w:rsidR="00280D6A" w:rsidRPr="00280D6A" w:rsidRDefault="00280D6A" w:rsidP="00280D6A">
      <w:r w:rsidRPr="00280D6A">
        <w:t> </w:t>
      </w:r>
    </w:p>
    <w:p w14:paraId="50598C0C" w14:textId="77777777" w:rsidR="00280D6A" w:rsidRPr="00280D6A" w:rsidRDefault="00280D6A" w:rsidP="00280D6A">
      <w:r w:rsidRPr="00280D6A">
        <w:t xml:space="preserve">Serdar Araz, openbaar apotheker, cursusmaker en cursusgever </w:t>
      </w:r>
    </w:p>
    <w:p w14:paraId="165E892B" w14:textId="77777777" w:rsidR="00280D6A" w:rsidRPr="00280D6A" w:rsidRDefault="00280D6A" w:rsidP="00280D6A">
      <w:r w:rsidRPr="00280D6A">
        <w:t> </w:t>
      </w:r>
    </w:p>
    <w:p w14:paraId="43C1042C" w14:textId="77777777" w:rsidR="00280D6A" w:rsidRPr="00280D6A" w:rsidRDefault="00280D6A" w:rsidP="00280D6A">
      <w:r w:rsidRPr="00280D6A">
        <w:t>P.S. De cursus wordt ook geaccrediteerd voor farmaceutisch consulenten via Kabiz.</w:t>
      </w:r>
    </w:p>
    <w:p w14:paraId="5EC9E5BF" w14:textId="77777777" w:rsidR="00280D6A" w:rsidRPr="00280D6A" w:rsidRDefault="00280D6A" w:rsidP="00280D6A">
      <w:r w:rsidRPr="00280D6A">
        <w:t> </w:t>
      </w:r>
    </w:p>
    <w:p w14:paraId="027FC175" w14:textId="2EDC6F2A" w:rsidR="00280D6A" w:rsidRPr="00280D6A" w:rsidRDefault="00280D6A" w:rsidP="00280D6A">
      <w:r w:rsidRPr="00280D6A">
        <w:br/>
      </w:r>
    </w:p>
    <w:p w14:paraId="7A2D5CA6" w14:textId="77777777" w:rsidR="00280D6A" w:rsidRPr="00280D6A" w:rsidRDefault="00280D6A" w:rsidP="00280D6A">
      <w:r w:rsidRPr="00280D6A">
        <w:t> </w:t>
      </w:r>
    </w:p>
    <w:p w14:paraId="39484086" w14:textId="77777777" w:rsidR="00280D6A" w:rsidRPr="00280D6A" w:rsidRDefault="00280D6A" w:rsidP="00280D6A">
      <w:r w:rsidRPr="00280D6A">
        <w:t>Secretariaat Medifarmcursussen</w:t>
      </w:r>
      <w:r w:rsidRPr="00280D6A">
        <w:br/>
        <w:t>Klaverveld 10</w:t>
      </w:r>
    </w:p>
    <w:p w14:paraId="23E01498" w14:textId="77777777" w:rsidR="00280D6A" w:rsidRPr="00280D6A" w:rsidRDefault="00280D6A" w:rsidP="00280D6A">
      <w:r w:rsidRPr="00280D6A">
        <w:t>4854 KW  BAVEL</w:t>
      </w:r>
      <w:r w:rsidRPr="00280D6A">
        <w:br/>
        <w:t>Tel: 06-55868494</w:t>
      </w:r>
      <w:r w:rsidRPr="00280D6A">
        <w:br/>
        <w:t xml:space="preserve">E-mail: </w:t>
      </w:r>
      <w:hyperlink r:id="rId8" w:history="1">
        <w:r w:rsidRPr="00280D6A">
          <w:rPr>
            <w:rStyle w:val="Hyperlink"/>
          </w:rPr>
          <w:t>info@medifarm.nl</w:t>
        </w:r>
      </w:hyperlink>
    </w:p>
    <w:p w14:paraId="7A3E58B9" w14:textId="77777777" w:rsidR="00D72898" w:rsidRDefault="00D72898"/>
    <w:sectPr w:rsidR="00D728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D6A"/>
    <w:rsid w:val="00280D6A"/>
    <w:rsid w:val="00485AE5"/>
    <w:rsid w:val="00D72898"/>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0563D"/>
  <w15:chartTrackingRefBased/>
  <w15:docId w15:val="{97AA0B1A-232C-4809-8ABE-1D3021C80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85AE5"/>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280D6A"/>
    <w:rPr>
      <w:color w:val="0563C1" w:themeColor="hyperlink"/>
      <w:u w:val="single"/>
    </w:rPr>
  </w:style>
  <w:style w:type="character" w:styleId="Onopgelostemelding">
    <w:name w:val="Unresolved Mention"/>
    <w:basedOn w:val="Standaardalinea-lettertype"/>
    <w:uiPriority w:val="99"/>
    <w:semiHidden/>
    <w:unhideWhenUsed/>
    <w:rsid w:val="00280D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737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edifarm.nl" TargetMode="External"/><Relationship Id="rId3" Type="http://schemas.openxmlformats.org/officeDocument/2006/relationships/webSettings" Target="webSettings.xml"/><Relationship Id="rId7" Type="http://schemas.openxmlformats.org/officeDocument/2006/relationships/hyperlink" Target="mailto:info@medifarm.n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edifarm.nl/cursus-covid-19-geassocieerde-complicaties/" TargetMode="External"/><Relationship Id="rId5" Type="http://schemas.openxmlformats.org/officeDocument/2006/relationships/image" Target="cid:image002.png@01D6CD6E.0F375730"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641</Words>
  <Characters>3531</Characters>
  <Application>Microsoft Office Word</Application>
  <DocSecurity>0</DocSecurity>
  <Lines>29</Lines>
  <Paragraphs>8</Paragraphs>
  <ScaleCrop>false</ScaleCrop>
  <Company/>
  <LinksUpToDate>false</LinksUpToDate>
  <CharactersWithSpaces>4164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Gebruiker</cp:lastModifiedBy>
  <cp:revision>1</cp:revision>
  <dcterms:created xsi:type="dcterms:W3CDTF">2020-12-11T14:23:00Z</dcterms:created>
  <dcterms:modified xsi:type="dcterms:W3CDTF">2020-12-11T14:30:00Z</dcterms:modified>
</cp:coreProperties>
</file>